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</w:t>
      </w: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                           АНАЛИЗ  ПО ИТОГАМ ПРОБНОГО ОГЭ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ПО РУССКОМУ ЯЗЫКУ В 9 КЛАССЕ (2022– 2023 учебный год)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В соответствии с планом подготовки к государственной (итоговой) аттестации выпускников 9-го класса «О проведении пробного экзамена по русскому языку в форме ОГЭ для обучающихся 9 класса» 17.02.2023 года проведено пробное диагностическое тестирование в формате ОГЭ для выпускников 9-го класса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Назначение предэкзаменационной работы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– оценить уровень подготовки по обязательным предметам выпускников основной школы.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>Цель: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</w:t>
      </w:r>
    </w:p>
    <w:p w:rsidR="000C4C1A" w:rsidRPr="000C4C1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отработать процедуру организации  и проведения ОГЭ;</w:t>
      </w:r>
    </w:p>
    <w:p w:rsidR="000C4C1A" w:rsidRPr="000C4C1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проверить уровень усвоения обучающимися материала за курс основного общего образования;</w:t>
      </w:r>
    </w:p>
    <w:p w:rsidR="000C4C1A" w:rsidRPr="000C4C1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определить качество заполнения бланков ОГЭ;</w:t>
      </w:r>
    </w:p>
    <w:p w:rsidR="000C4C1A" w:rsidRPr="000C4C1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оценить подготовку выпускников 9-го класса к ОГЭ по обязательному предмету.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>Краткая характеристика экзаменационной работы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Работа по русскому языку состояла из трех частей. 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br/>
        <w:t>        Часть первая  представляла собой сжатое изложение на основе прослушанного  текста.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br/>
        <w:t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2-8). Часть третья  проверяла умение создавать собственное высказывание на основе прочитанного текста.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неоднотипных ошибок. 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Максимальное количество баллов, которое мог получить экзаменуемый за выполнение всей экзаменационной работы, – 39 баллов.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Шкала пересчета первичного балла за выполнение экзаменационной работы в отметку по пятибалльной шкале: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2"/>
        <w:gridCol w:w="1143"/>
        <w:gridCol w:w="1279"/>
        <w:gridCol w:w="2843"/>
        <w:gridCol w:w="2828"/>
      </w:tblGrid>
      <w:tr w:rsidR="000C4C1A" w:rsidRPr="000C4C1A" w:rsidTr="00D1248C">
        <w:trPr>
          <w:trHeight w:val="840"/>
        </w:trPr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Отметка по пятибалльной шкале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C4C1A" w:rsidRPr="000C4C1A" w:rsidRDefault="000C4C1A" w:rsidP="00D124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C4C1A" w:rsidRPr="000C4C1A" w:rsidRDefault="000C4C1A" w:rsidP="00D124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C4C1A" w:rsidRPr="000C4C1A" w:rsidRDefault="000C4C1A" w:rsidP="00D124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C4C1A" w:rsidRPr="000C4C1A" w:rsidRDefault="000C4C1A" w:rsidP="00D124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«5»</w:t>
            </w:r>
          </w:p>
        </w:tc>
      </w:tr>
      <w:tr w:rsidR="000C4C1A" w:rsidRPr="000C4C1A" w:rsidTr="00D1248C">
        <w:trPr>
          <w:trHeight w:val="1974"/>
        </w:trPr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Общий балл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0 -14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15 -22</w:t>
            </w:r>
          </w:p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23 – 28, из них не менее 4 баллов за грамотность (по критериям ГК1 - ГК4). Если по критериям ГК1–ГК4 учащийся набрал менее 4 баллов, выставляется отметка «3».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29-33, из них не менее 6 баллов за грамотность (по критериям ГК1 - ГК4).</w:t>
            </w:r>
          </w:p>
          <w:p w:rsidR="000C4C1A" w:rsidRPr="000C4C1A" w:rsidRDefault="000C4C1A" w:rsidP="00D124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C4C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Если по критериям ГК1 ГК4 учащийся набрал менее 6 баллов, выставляется отметка «4».</w:t>
            </w:r>
          </w:p>
        </w:tc>
      </w:tr>
    </w:tbl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Theme="minorHAnsi" w:hAnsi="Times New Roman"/>
        </w:rPr>
      </w:pPr>
      <w:r w:rsidRPr="000C4C1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Результаты пробного экзамена.</w:t>
      </w:r>
      <w:r w:rsidRPr="000C4C1A">
        <w:rPr>
          <w:rFonts w:ascii="Times New Roman" w:eastAsiaTheme="minorHAnsi" w:hAnsi="Times New Roman"/>
        </w:rPr>
        <w:br/>
      </w: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426"/>
        <w:gridCol w:w="1701"/>
        <w:gridCol w:w="567"/>
        <w:gridCol w:w="567"/>
        <w:gridCol w:w="426"/>
        <w:gridCol w:w="567"/>
        <w:gridCol w:w="567"/>
        <w:gridCol w:w="708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</w:tblGrid>
      <w:tr w:rsidR="000C4C1A" w:rsidRPr="000C4C1A" w:rsidTr="00D1248C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</w:p>
          <w:p w:rsidR="000C4C1A" w:rsidRPr="000C4C1A" w:rsidRDefault="000C4C1A" w:rsidP="00D1248C">
            <w:pPr>
              <w:rPr>
                <w:rFonts w:ascii="Times New Roman" w:hAnsi="Times New Roman"/>
                <w:b/>
              </w:rPr>
            </w:pPr>
            <w:r w:rsidRPr="000C4C1A"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 xml:space="preserve">Грамотность 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Тестовая часть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вар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оце</w:t>
            </w:r>
          </w:p>
        </w:tc>
      </w:tr>
      <w:tr w:rsidR="000C4C1A" w:rsidRPr="000C4C1A" w:rsidTr="00D1248C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ИК1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ИК2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ИК3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СК1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СК2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СК3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СК4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ГК1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ГК2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ГК3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ГК4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ФК1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  <w:r w:rsidRPr="000C4C1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БамбаеваА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4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ДибироваП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4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Куаншкалиев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Малзанова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4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Манджиев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Мирзаева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НемкееваД.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4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Пашаев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</w:tr>
      <w:tr w:rsidR="000C4C1A" w:rsidRPr="000C4C1A" w:rsidTr="00D124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Салыхова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0C4C1A" w:rsidRDefault="000C4C1A" w:rsidP="00D1248C">
            <w:pPr>
              <w:rPr>
                <w:rFonts w:ascii="Times New Roman" w:hAnsi="Times New Roman"/>
              </w:rPr>
            </w:pPr>
            <w:r w:rsidRPr="000C4C1A">
              <w:rPr>
                <w:rFonts w:ascii="Times New Roman" w:hAnsi="Times New Roman"/>
              </w:rPr>
              <w:t>3</w:t>
            </w:r>
          </w:p>
        </w:tc>
      </w:tr>
    </w:tbl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C4C1A" w:rsidRPr="000C4C1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Итого: успеваемость – 48%; качество – 43%; средний балл – 3.8.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C4C1A" w:rsidRPr="000C4C1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>Анализ наиболее распространённых ошибок участников пробного экзамена.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1 часть (задание 1: сжатое изложение)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ИК1. 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Передать основное содержание прослушанного текста, отразив все важные для его восприятия микротемы, не смогли 2уч.. 2 обучающихся получили за данный критерий по 1 баллу, т. к. пропуск отдельных авторских мыслей вел их к ошибкам при передаче основной информации.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ИК2.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Максимальный балл за сжатие исходного текста получили 5, а минимальный балл получил 2человека.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</w:t>
      </w: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ИК3.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5  обучающихся по данному критерию получили по 1 баллу из 2-х возможных. В работах ребят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   Анализ полученных результатов позволяет сделать вывод о том, что обучающиеся не всегда могут воспринять замысел автора, выделить основную и периферийную информацию. Необходимо отметить, что в работах  не были отражены все микротемы, сжатие  было непродуманным, а грамматический строй речи отличался однообразием конструкций.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2 часть (задания 2 - 8: тестовые задания)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lastRenderedPageBreak/>
        <w:t>Вторая часть экзаменационной работы  представляла собой тесты и  состояла из заданий с записью краткого ответа (задания 2 – 8). 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br/>
        <w:t>     Некоторые  задания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сформированность  умения правильно  определять языковые явления в соответствии с нормами орфографии и пунктуации.        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Среди всех заданий экзаменационной работы наибольшую трудность у выпускников, вызвали  задания 5(орфографический анализ), 8 (лексический анализ).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 xml:space="preserve">На сравнительно низком уровне выполнены задания 3 (пунктуационный анализ), 4 (анализ содержания текста), 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    Причины трудностей в освоении норм  пунктуации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 </w:t>
      </w:r>
    </w:p>
    <w:p w:rsidR="000C4C1A" w:rsidRPr="000C4C1A" w:rsidRDefault="000C4C1A" w:rsidP="000C4C1A">
      <w:pPr>
        <w:shd w:val="clear" w:color="auto" w:fill="FFFFFF"/>
        <w:tabs>
          <w:tab w:val="left" w:pos="4275"/>
          <w:tab w:val="center" w:pos="7285"/>
        </w:tabs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3 часть (задания 9.1, 9.2, 9.3: сочинение-рассуждение.)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Выполнение работы отражало  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 внимание уделялось умению извлекать из прочитанного текста информацию для иллюстрации тезиса и включать в собственный текст.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Выполняя задание 9, 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из трех предложенных для сочинения-рассуждения тем   выбрали 9 обучающихся – 9.3.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 Затруднения школьников, плохо справившихся с заданием 9.3., объясняются несформированностью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Практическая грамотность и фактическая точность речи.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    Грамотность экзаменуемого оценивалась суммарно с учётом грубых и негрубых, однотипных и неоднотипных ошибок на основании поверки изложения и сочинения. </w:t>
      </w:r>
      <w:r w:rsidRPr="000C4C1A">
        <w:rPr>
          <w:rFonts w:ascii="Times New Roman" w:eastAsia="Times New Roman" w:hAnsi="Times New Roman"/>
          <w:color w:val="000000"/>
          <w:sz w:val="21"/>
          <w:szCs w:val="21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половины выпускников, а речевые навыки выпускников оставляют желать лучшего. Уровень грамматических умений достаточно высок, фактическая точность речи  девятиклассников на хорошем уровне.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Причиной таких результатов  можно считать недостаточнуюсформированность у обучающихся умений применять изученные правила, умений самоконтроля, умений работать с орфографическим словарем.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>Выводы и рекомендации.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     Анализ результатов выполнения пробной экзаменационной работы по русскому языку даёт основание утверждать, что учащиеся в целом   справились с заданиями, проверяющими уровень сформированности основных предметных компетенций.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lastRenderedPageBreak/>
        <w:t>    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Анализ результатов пробного экзамена позволил выработать следующие рекомендации: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1.Совершенствовать умения и навыки обучающихся в области языкового анализа.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2.Организовать систематическое повторение пройденных разделов языкознания.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3.На уроках больше внимания уделять анализу текстов различных стилей и типов речи.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4.Развивать монологическую речь учащихся как системообразующий фактор речевой культуры.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5.отрабатывать навыки рационального чтения учебных, научно-популярных, публицистических текстов, формировать на этой основе общеучебные умения работы с книгой.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6.Использовать систему тестового контроля.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7.Особое внимание обратить на повышение  уровня практической грамотности обучающихся по пунктуации, орфографии.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8.Чаще обращаться к работе над сжатым изложением и тренировать практические умения обучающихся.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>9.Продолжить подготовку обучающихся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C4C1A" w:rsidRPr="000C4C1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color w:val="000000"/>
          <w:sz w:val="21"/>
          <w:szCs w:val="21"/>
        </w:rPr>
        <w:t xml:space="preserve">                                                                    Учитель: Андреева Л.К.</w:t>
      </w:r>
    </w:p>
    <w:p w:rsidR="000C4C1A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C4C1A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C4C1A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F7E16" w:rsidRDefault="00FF7E16"/>
    <w:sectPr w:rsidR="00FF7E16" w:rsidSect="00FF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6D8E"/>
    <w:multiLevelType w:val="multilevel"/>
    <w:tmpl w:val="472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C1A"/>
    <w:rsid w:val="000C4C1A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Сарул</cp:lastModifiedBy>
  <cp:revision>1</cp:revision>
  <dcterms:created xsi:type="dcterms:W3CDTF">2023-04-26T06:31:00Z</dcterms:created>
  <dcterms:modified xsi:type="dcterms:W3CDTF">2023-04-26T06:32:00Z</dcterms:modified>
</cp:coreProperties>
</file>